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media/rId24.png" ContentType="image/png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Trying</w:t>
      </w:r>
      <w:r>
        <w:t xml:space="preserve"> </w:t>
      </w:r>
      <w:r>
        <w:t xml:space="preserve">Rmarkdown</w:t>
      </w:r>
    </w:p>
    <w:p>
      <w:pPr>
        <w:pStyle w:val="Authors"/>
      </w:pPr>
      <w:r>
        <w:t xml:space="preserve">Ben</w:t>
      </w:r>
      <w:r>
        <w:t xml:space="preserve"> </w:t>
      </w:r>
      <w:r>
        <w:t xml:space="preserve">Best</w:t>
      </w:r>
    </w:p>
    <w:p>
      <w:pPr>
        <w:pStyle w:val="Date"/>
      </w:pPr>
      <w:r>
        <w:t xml:space="preserve">August</w:t>
      </w:r>
      <w:r>
        <w:t xml:space="preserve"> </w:t>
      </w:r>
      <w:r>
        <w:t xml:space="preserve">1,</w:t>
      </w:r>
      <w:r>
        <w:t xml:space="preserve"> </w:t>
      </w:r>
      <w:r>
        <w:t xml:space="preserve">2014</w:t>
      </w:r>
    </w:p>
    <w:bookmarkStart w:id="21" w:name="introduction"/>
    <w:p>
      <w:pPr>
        <w:pStyle w:val="Heading2"/>
      </w:pPr>
      <w:r>
        <w:t xml:space="preserve">Introduction</w:t>
      </w:r>
    </w:p>
    <w:bookmarkEnd w:id="21"/>
    <w:p>
      <w:r>
        <w:t xml:space="preserve">The Ocean Health Index</w:t>
      </w:r>
      <w:r>
        <w:t xml:space="preserve"> </w:t>
      </w:r>
      <w:r>
        <w:t xml:space="preserve">(Halpern et al., 2012; Selig et al., 2013)</w:t>
      </w:r>
      <w:r>
        <w:t xml:space="preserve"> </w:t>
      </w:r>
      <w:r>
        <w:t xml:space="preserve">derives most of its pressures from Halpern et al.</w:t>
      </w:r>
      <w:r>
        <w:t xml:space="preserve"> </w:t>
      </w:r>
      <w:r>
        <w:t xml:space="preserve">(2008)</w:t>
      </w:r>
      <w:r>
        <w:t xml:space="preserve">...</w:t>
      </w:r>
    </w:p>
    <w:bookmarkStart w:id="22" w:name="food-provision-fisheries"/>
    <w:p>
      <w:pPr>
        <w:pStyle w:val="Heading2"/>
      </w:pPr>
      <w:r>
        <w:t xml:space="preserve">Food Provision: Fisheries</w:t>
      </w:r>
    </w:p>
    <w:bookmarkEnd w:id="22"/>
    <w:p>
      <w:r>
        <w:t xml:space="preserve">Amount of sustainable wild-caught seafood compared to the max sustainable</w:t>
      </w:r>
    </w:p>
    <w:p>
      <m:oMathPara>
        <m:oMathParaPr>
          <m:jc m:val="center"/>
        </m:oMathParaPr>
        <m:oMath>
          <m:sSub>
            <m:e>
              <m:r>
                <m:rPr/>
                <m:t>x</m:t>
              </m:r>
            </m:e>
            <m:sub>
              <m:r>
                <m:rPr/>
                <m:t>F</m:t>
              </m:r>
              <m:r>
                <m:rPr/>
                <m:t>I</m:t>
              </m:r>
              <m:r>
                <m:rPr/>
                <m:t>S</m:t>
              </m:r>
            </m:sub>
          </m:sSub>
          <m:r>
            <m:rPr/>
            <m:t>=</m:t>
          </m:r>
          <m:r>
            <m:rPr/>
            <m:t>(</m:t>
          </m:r>
          <m:nary>
            <m:naryPr>
              <m:chr m:val="∏"/>
              <m:limLoc m:val="undOvr"/>
              <m:supHide m:val="off"/>
              <m:supHide m:val="off"/>
            </m:naryPr>
            <m:e>
              <m:r>
                <m:rPr/>
                <m:t>S</m:t>
              </m:r>
            </m:e>
            <m:sub>
              <m:r>
                <m:rPr/>
                <m:t>g</m:t>
              </m:r>
              <m:r>
                <m:rPr/>
                <m:t>=</m:t>
              </m:r>
              <m:r>
                <m:rPr/>
                <m:t>1</m:t>
              </m:r>
            </m:sub>
            <m:sup>
              <m:r>
                <m:rPr/>
                <m:t>6</m:t>
              </m:r>
            </m:sup>
          </m:nary>
          <m:sSubSup>
            <m:e>
              <m:r>
                <m:rPr/>
                <m:t>S</m:t>
              </m:r>
            </m:e>
            <m:sub>
              <m:r>
                <m:rPr/>
                <m:t>i</m:t>
              </m:r>
              <m:r>
                <m:rPr/>
                <m:t>,</m:t>
              </m:r>
              <m:r>
                <m:rPr/>
                <m:t>g</m:t>
              </m:r>
            </m:sub>
            <m:sup>
              <m:sSub>
                <m:e>
                  <m:r>
                    <m:rPr/>
                    <m:t>C</m:t>
                  </m:r>
                </m:e>
                <m:sub>
                  <m:r>
                    <m:rPr/>
                    <m:t>i</m:t>
                  </m:r>
                  <m:r>
                    <m:rPr/>
                    <m:t>,</m:t>
                  </m:r>
                  <m:r>
                    <m:rPr/>
                    <m:t>g</m:t>
                  </m:r>
                </m:sub>
              </m:sSub>
            </m:sup>
          </m:sSubSup>
          <m:sSup>
            <m:e>
              <m:r>
                <m:rPr/>
                <m:t>)</m:t>
              </m:r>
            </m:e>
            <m:sup>
              <m:f>
                <m:fPr>
                  <m:type m:val="bar"/>
                </m:fPr>
                <m:num>
                  <m:r>
                    <m:rPr/>
                    <m:t>1</m:t>
                  </m:r>
                </m:num>
                <m:den>
                  <m:r>
                    <m:rPr/>
                    <m:t>∑</m:t>
                  </m:r>
                  <m:sSub>
                    <m:e>
                      <m:r>
                        <m:rPr/>
                        <m:t>C</m:t>
                      </m:r>
                    </m:e>
                    <m:sub>
                      <m:r>
                        <m:rPr/>
                        <m:t>i</m:t>
                      </m:r>
                      <m:r>
                        <m:rPr/>
                        <m:t>,</m:t>
                      </m:r>
                      <m:r>
                        <m:rPr/>
                        <m:t>g</m:t>
                      </m:r>
                    </m:sub>
                  </m:sSub>
                </m:den>
              </m:f>
            </m:sup>
          </m:sSup>
        </m:oMath>
      </m:oMathPara>
    </w:p>
    <w:p>
      <w:r>
        <w:t xml:space="preserve">Variables:</w:t>
      </w:r>
    </w:p>
    <w:p>
      <w:pPr>
        <w:pStyle w:val="Compact"/>
        <w:numPr>
          <w:numId w:val="2"/>
          <w:ilvl w:val="0"/>
        </w:numPr>
      </w:pPr>
      <m:oMath>
        <m:r>
          <m:rPr/>
          <m:t>S</m:t>
        </m:r>
        <m:r>
          <m:rPr/>
          <m:t>S</m:t>
        </m:r>
      </m:oMath>
      <w:r>
        <w:t xml:space="preserve">: stock status score, based on B/Bmsy and an underharvest penalty adjustment</w:t>
      </w:r>
    </w:p>
    <w:p>
      <w:pPr>
        <w:pStyle w:val="Compact"/>
        <w:numPr>
          <w:numId w:val="2"/>
          <w:ilvl w:val="0"/>
        </w:numPr>
      </w:pPr>
      <m:oMath>
        <m:r>
          <m:rPr/>
          <m:t>C</m:t>
        </m:r>
      </m:oMath>
      <w:r>
        <w:t xml:space="preserve">: total catch</w:t>
      </w:r>
    </w:p>
    <w:p>
      <w:pPr>
        <w:pStyle w:val="Compact"/>
        <w:numPr>
          <w:numId w:val="2"/>
          <w:ilvl w:val="0"/>
        </w:numPr>
      </w:pPr>
      <m:oMath>
        <m:r>
          <m:rPr/>
          <m:t>i</m:t>
        </m:r>
      </m:oMath>
      <w:r>
        <w:t xml:space="preserve">: OHI reporting region</w:t>
      </w:r>
    </w:p>
    <w:p>
      <w:pPr>
        <w:pStyle w:val="Compact"/>
        <w:numPr>
          <w:numId w:val="2"/>
          <w:ilvl w:val="0"/>
        </w:numPr>
      </w:pPr>
      <m:oMath>
        <m:r>
          <m:rPr/>
          <m:t>g</m:t>
        </m:r>
      </m:oMath>
      <w:r>
        <w:t xml:space="preserve">: level of taxonomic grouping (ISSCAAP)</w:t>
      </w:r>
    </w:p>
    <w:bookmarkStart w:id="23" w:name="results"/>
    <w:p>
      <w:pPr>
        <w:pStyle w:val="Heading2"/>
      </w:pPr>
      <w:r>
        <w:t xml:space="preserve">Results</w:t>
      </w:r>
    </w:p>
    <w:bookmarkEnd w:id="23"/>
    <w:p>
      <w:r>
        <w:t xml:space="preserve">Hats off to the top scoring region of</w:t>
      </w:r>
      <w:r>
        <w:t xml:space="preserve"> </w:t>
      </w:r>
      <w:r>
        <w:rPr>
          <w:b/>
        </w:rPr>
        <w:t xml:space="preserve">Heard and McDonald Islands</w:t>
      </w:r>
      <w:r>
        <w:t xml:space="preserve"> </w:t>
      </w:r>
      <w:r>
        <w:t xml:space="preserve">with a score of 90.29! The top 10 scoring regions (of 221 globally) are largely comprised of unpopulated islands (see Table 1).</w:t>
      </w:r>
    </w:p>
    <w:tbl>
      <w:tblPr>
        <w:tblStyle w:val="TableNormal"/>
        <w:tblCaption w:val="Top 10 scoring regions."/>
      </w:tblPr>
      <w:tblGrid/>
      <w:t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Region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right"/>
            </w:pPr>
            <w:r>
              <w:t xml:space="preserve">Score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Heard and McDonald Islands</w:t>
            </w:r>
          </w:p>
        </w:tc>
        <w:tc>
          <w:p>
            <w:pPr>
              <w:pStyle w:val="Compact"/>
              <w:jc w:val="right"/>
            </w:pPr>
            <w:r>
              <w:t xml:space="preserve">90.29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Ile Europa</w:t>
            </w:r>
          </w:p>
        </w:tc>
        <w:tc>
          <w:p>
            <w:pPr>
              <w:pStyle w:val="Compact"/>
              <w:jc w:val="right"/>
            </w:pPr>
            <w:r>
              <w:t xml:space="preserve">89.48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Bassas da India</w:t>
            </w:r>
          </w:p>
        </w:tc>
        <w:tc>
          <w:p>
            <w:pPr>
              <w:pStyle w:val="Compact"/>
              <w:jc w:val="right"/>
            </w:pPr>
            <w:r>
              <w:t xml:space="preserve">88.17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Howland Island and Baker Island</w:t>
            </w:r>
          </w:p>
        </w:tc>
        <w:tc>
          <w:p>
            <w:pPr>
              <w:pStyle w:val="Compact"/>
              <w:jc w:val="right"/>
            </w:pPr>
            <w:r>
              <w:t xml:space="preserve">85.89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Juan de Nova Island</w:t>
            </w:r>
          </w:p>
        </w:tc>
        <w:tc>
          <w:p>
            <w:pPr>
              <w:pStyle w:val="Compact"/>
              <w:jc w:val="right"/>
            </w:pPr>
            <w:r>
              <w:t xml:space="preserve">83.84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Glorioso Islands</w:t>
            </w:r>
          </w:p>
        </w:tc>
        <w:tc>
          <w:p>
            <w:pPr>
              <w:pStyle w:val="Compact"/>
              <w:jc w:val="right"/>
            </w:pPr>
            <w:r>
              <w:t xml:space="preserve">83.79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Kerguelen Islands</w:t>
            </w:r>
          </w:p>
        </w:tc>
        <w:tc>
          <w:p>
            <w:pPr>
              <w:pStyle w:val="Compact"/>
              <w:jc w:val="right"/>
            </w:pPr>
            <w:r>
              <w:t xml:space="preserve">82.84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Northern Saint-Martin</w:t>
            </w:r>
          </w:p>
        </w:tc>
        <w:tc>
          <w:p>
            <w:pPr>
              <w:pStyle w:val="Compact"/>
              <w:jc w:val="right"/>
            </w:pPr>
            <w:r>
              <w:t xml:space="preserve">82.58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Nauru</w:t>
            </w:r>
          </w:p>
        </w:tc>
        <w:tc>
          <w:p>
            <w:pPr>
              <w:pStyle w:val="Compact"/>
              <w:jc w:val="right"/>
            </w:pPr>
            <w:r>
              <w:t xml:space="preserve">82.18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Seychelles</w:t>
            </w:r>
          </w:p>
        </w:tc>
        <w:tc>
          <w:p>
            <w:pPr>
              <w:pStyle w:val="Compact"/>
              <w:jc w:val="right"/>
            </w:pPr>
            <w:r>
              <w:t xml:space="preserve">81.93</w:t>
            </w:r>
          </w:p>
        </w:tc>
      </w:tr>
    </w:tbl>
    <w:p>
      <w:pPr>
        <w:pStyle w:val="TableCaption"/>
      </w:pPr>
      <w:r>
        <w:t xml:space="preserve">Top 10 scoring regions.</w:t>
      </w:r>
    </w:p>
    <w:p>
      <w:r>
        <w:t xml:space="preserve">The global average of 68 consists of food provision scores being lowest (Mariculture = 26; Fisheries = 40), but Artisanal Fishing Opportunities highest (98) (see Figure 1).</w:t>
      </w:r>
    </w:p>
    <w:p>
      <w:r>
        <w:drawing>
          <wp:inline>
            <wp:extent cx="6096000" cy="60960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./test_files/figure-docx/flower_plot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ImageCaption"/>
      </w:pPr>
      <w:r>
        <w:t xml:space="preserve">Global average across Oceean Health Index goals.</w:t>
      </w:r>
    </w:p>
    <w:p>
      <w:r>
        <w:t xml:space="preserve">Note that the</w:t>
      </w:r>
      <w:r>
        <w:t xml:space="preserve"> </w:t>
      </w:r>
      <w:r>
        <w:rPr>
          <w:rStyle w:val="VerbatimChar"/>
        </w:rPr>
        <w:t xml:space="preserve">echo = FALSE</w:t>
      </w:r>
      <w:r>
        <w:t xml:space="preserve"> </w:t>
      </w:r>
      <w:r>
        <w:t xml:space="preserve">parameter was added to the code chunk to prevent printing of the R code that generated the plot.</w:t>
      </w:r>
    </w:p>
    <w:bookmarkStart w:id="25" w:name="github-markdown"/>
    <w:p>
      <w:pPr>
        <w:pStyle w:val="Heading2"/>
      </w:pPr>
      <w:r>
        <w:t xml:space="preserve">Github Markdown</w:t>
      </w:r>
    </w:p>
    <w:bookmarkEnd w:id="25"/>
    <w:p>
      <w:r>
        <w:t xml:space="preserve">To get github friendly Markdown document for cleanly tracking changes to document in Github, put the following output first:</w:t>
      </w:r>
    </w:p>
    <w:p>
      <w:pPr>
        <w:pStyle w:val="SourceCode"/>
      </w:pPr>
      <w:r>
        <w:rPr>
          <w:rStyle w:val="VerbatimChar"/>
        </w:rPr>
        <w:t xml:space="preserve">output:</w:t>
      </w:r>
      <w:r>
        <w:br w:type="textWrapping"/>
      </w:r>
      <w:r>
        <w:rPr>
          <w:rStyle w:val="VerbatimChar"/>
        </w:rPr>
        <w:t xml:space="preserve">  md_document:</w:t>
      </w:r>
      <w:r>
        <w:br w:type="textWrapping"/>
      </w:r>
      <w:r>
        <w:rPr>
          <w:rStyle w:val="VerbatimChar"/>
        </w:rPr>
        <w:t xml:space="preserve">    variant: "markdown_github"</w:t>
      </w:r>
    </w:p>
    <w:p>
      <w:r>
        <w:t xml:space="preserve">NOTE: You need to run this</w:t>
      </w:r>
      <w:r>
        <w:t xml:space="preserve"> </w:t>
      </w:r>
      <w:r>
        <w:rPr>
          <w:b/>
        </w:rPr>
        <w:t xml:space="preserve">LAST</w:t>
      </w:r>
      <w:r>
        <w:t xml:space="preserve"> </w:t>
      </w:r>
      <w:r>
        <w:t xml:space="preserve">though, since knitting other formats wipes out the</w:t>
      </w:r>
      <w:r>
        <w:t xml:space="preserve"> </w:t>
      </w:r>
      <w:r>
        <w:rPr>
          <w:rStyle w:val="VerbatimChar"/>
        </w:rPr>
        <w:t xml:space="preserve">test_files</w:t>
      </w:r>
      <w:r>
        <w:t xml:space="preserve"> </w:t>
      </w:r>
      <w:r>
        <w:t xml:space="preserve">directory. To return to the Knit button having other options (HTML, PDF, Word), move this output type below the first option.</w:t>
      </w:r>
    </w:p>
    <w:bookmarkStart w:id="26" w:name="references"/>
    <w:p>
      <w:pPr>
        <w:pStyle w:val="Heading2"/>
      </w:pPr>
      <w:r>
        <w:t xml:space="preserve">References</w:t>
      </w:r>
    </w:p>
    <w:bookmarkEnd w:id="26"/>
    <w:p>
      <w:r>
        <w:t xml:space="preserve">Halpern, B. S., Longo, C., Hardy, D., McLeod, K. L., Samhouri, J. F., Katona, S. K., … Zeller, D. (2012). An index to assess the health and benefits of the global ocean.</w:t>
      </w:r>
      <w:r>
        <w:t xml:space="preserve"> </w:t>
      </w:r>
      <w:r>
        <w:rPr>
          <w:i/>
        </w:rPr>
        <w:t xml:space="preserve">Nature</w:t>
      </w:r>
      <w:r>
        <w:t xml:space="preserve">. doi:</w:t>
      </w:r>
      <w:hyperlink r:id="rId27">
        <w:r>
          <w:rPr>
            <w:rStyle w:val="Link"/>
          </w:rPr>
          <w:t xml:space="preserve">10.1038/nature11397</w:t>
        </w:r>
      </w:hyperlink>
    </w:p>
    <w:p>
      <w:r>
        <w:t xml:space="preserve">Halpern, B. S., Walbridge, S., Selkoe, K. A., Kappel, C. V., Micheli, F., D’Agrosa, C., … Watson, R. (2008). A Global Map of Human Impact on Marine Ecosystems.</w:t>
      </w:r>
      <w:r>
        <w:t xml:space="preserve"> </w:t>
      </w:r>
      <w:r>
        <w:rPr>
          <w:i/>
        </w:rPr>
        <w:t xml:space="preserve">Science</w:t>
      </w:r>
      <w:r>
        <w:t xml:space="preserve">,</w:t>
      </w:r>
      <w:r>
        <w:t xml:space="preserve"> </w:t>
      </w:r>
      <w:r>
        <w:rPr>
          <w:i/>
        </w:rPr>
        <w:t xml:space="preserve">319</w:t>
      </w:r>
      <w:r>
        <w:t xml:space="preserve">(5865), 948–952. doi:</w:t>
      </w:r>
      <w:hyperlink r:id="rId28">
        <w:r>
          <w:rPr>
            <w:rStyle w:val="Link"/>
          </w:rPr>
          <w:t xml:space="preserve">10.1126/science.1149345</w:t>
        </w:r>
      </w:hyperlink>
    </w:p>
    <w:p>
      <w:r>
        <w:t xml:space="preserve">Selig, E. R., Longo, C., Halpern, B. S., Best, B. D., Hardy, D., Elfes, C. T., … Katona, S. K. (2013). Assessing Global Marine Biodiversity Status within a Coupled Socio-Ecological Perspective.</w:t>
      </w:r>
      <w:r>
        <w:t xml:space="preserve"> </w:t>
      </w:r>
      <w:r>
        <w:rPr>
          <w:i/>
        </w:rPr>
        <w:t xml:space="preserve">PLoS ONE</w:t>
      </w:r>
      <w:r>
        <w:t xml:space="preserve">,</w:t>
      </w:r>
      <w:r>
        <w:t xml:space="preserve"> </w:t>
      </w:r>
      <w:r>
        <w:rPr>
          <w:i/>
        </w:rPr>
        <w:t xml:space="preserve">8</w:t>
      </w:r>
      <w:r>
        <w:t xml:space="preserve">(4), e60284. doi:</w:t>
      </w:r>
      <w:hyperlink r:id="rId29">
        <w:r>
          <w:rPr>
            <w:rStyle w:val="Link"/>
          </w:rPr>
          <w:t xml:space="preserve">10.1371/journal.pone.0060284</w:t>
        </w:r>
      </w:hyperlink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numbering.xml><?xml version="1.0" encoding="utf-8"?>
<w:numbering xmlns:w="http://schemas.openxmlformats.org/wordprocessingml/2006/main">
  <w:abstractNum w:abstractNumId="0">
    <w:nsid w:val="3fc281fc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</w:abstractNum>
  <w:abstractNum w:abstractNumId="2">
    <w:nsid w:val="753b5abd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</w:abstractNum>
  <w:num w:numId="1">
    <w:abstractNumId w:val="0"/>
  </w:num>
  <w:num w:numId="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pPr>
      <w:spacing w:before="180" w:after="180"/>
    </w:pPr>
  </w:style>
  <w:style w:type="paragraph" w:styleId="Compact">
    <w:name w:val="Compact"/>
    <w:basedOn w:val="Normal"/>
    <w:qFormat/>
    <w:pPr>
      <w:spacing w:before="36" w:after="36"/>
    </w:pPr>
  </w:style>
  <w:style w:type="paragraph" w:styleId="Title">
    <w:name w:val="Title"/>
    <w:basedOn w:val="Normal"/>
    <w:next w:val="Normal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Authors">
    <w:name w:val="Authors"/>
    <w:next w:val="Normal"/>
    <w:qFormat/>
    <w:pPr>
      <w:keepNext/>
      <w:keepLines/>
      <w:jc w:val="center"/>
    </w:pPr>
  </w:style>
  <w:style w:type="paragraph" w:styleId="Date">
    <w:name w:val="Date"/>
    <w:next w:val="Normal"/>
    <w:qFormat/>
    <w:pPr>
      <w:keepNext/>
      <w:keepLines/>
      <w:jc w:val="center"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BlockQuote">
    <w:name w:val="Block Quote"/>
    <w:basedOn w:val="Normal"/>
    <w:next w:val="Normal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styleId="Definition">
    <w:name w:val="Definition"/>
    <w:basedOn w:val="Normal"/>
  </w:style>
  <w:style w:type="paragraph" w:styleId="BodyText">
    <w:name w:val="Body Text"/>
    <w:basedOn w:val="Normal"/>
    <w:link w:val="BodyTextChar"/>
    <w:pPr>
      <w:spacing w:after="120"/>
    </w:pPr>
  </w:style>
  <w:style w:type="paragraph" w:styleId="TableCaption">
    <w:name w:val="Table Caption"/>
    <w:basedOn w:val="Normal"/>
    <w:link w:val="BodyTextChar"/>
    <w:pPr>
      <w:spacing w:before="0" w:after="120"/>
    </w:pPr>
    <w:rPr>
      <w:i/>
    </w:rPr>
  </w:style>
  <w:style w:type="paragraph" w:styleId="ImageCaption">
    <w:name w:val="Image Caption"/>
    <w:basedOn w:val="Normal"/>
    <w:link w:val="BodyTextChar"/>
    <w:pPr>
      <w:spacing w:before="0" w:after="120"/>
    </w:pPr>
    <w:rPr>
      <w:i/>
    </w:r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customStyle="1" w:styleId="FootnoteRef">
    <w:name w:val="Footnote Ref"/>
    <w:basedOn w:val="BodyTextChar"/>
    <w:rPr>
      <w:vertAlign w:val="superscript"/>
    </w:rPr>
  </w:style>
  <w:style w:type="character" w:customStyle="1" w:styleId="Link">
    <w:name w:val="Link"/>
    <w:basedOn w:val="BodyTextChar"/>
    <w:rPr>
      <w:color w:val="4F81BD" w:themeColor="accent1"/>
    </w:rPr>
  </w:style>
  <w:style w:type="paragraph" w:customStyle="1" w:styleId="SourceCode">
    <w:name w:val="Source Code"/>
    <w:basedOn w:val="Normal"/>
    <w:link w:val="VerbatimChar"/>
    <w:pPr>
      <w:wordWrap w:val="off"/>
      <w:shd w:val="clear" w:fill="f8f8f8"/>
    </w:pPr>
  </w:style>
  <w:style w:type="character" w:customStyle="1" w:styleId="KeywordTok">
    <w:name w:val="KeywordTok"/>
    <w:basedOn w:val="VerbatimChar"/>
    <w:rPr>
      <w:color w:val="204a87"/>
      <w:shd w:val="clear" w:fill="f8f8f8"/>
      <w:b/>
    </w:rPr>
  </w:style>
  <w:style w:type="character" w:customStyle="1" w:styleId="DataTypeTok">
    <w:name w:val="DataTypeTok"/>
    <w:basedOn w:val="VerbatimChar"/>
    <w:rPr>
      <w:color w:val="204a87"/>
      <w:shd w:val="clear" w:fill="f8f8f8"/>
    </w:rPr>
  </w:style>
  <w:style w:type="character" w:customStyle="1" w:styleId="DecValTok">
    <w:name w:val="DecValTok"/>
    <w:basedOn w:val="VerbatimChar"/>
    <w:rPr>
      <w:color w:val="0000cf"/>
      <w:shd w:val="clear" w:fill="f8f8f8"/>
    </w:rPr>
  </w:style>
  <w:style w:type="character" w:customStyle="1" w:styleId="BaseNTok">
    <w:name w:val="BaseNTok"/>
    <w:basedOn w:val="VerbatimChar"/>
    <w:rPr>
      <w:color w:val="0000cf"/>
      <w:shd w:val="clear" w:fill="f8f8f8"/>
    </w:rPr>
  </w:style>
  <w:style w:type="character" w:customStyle="1" w:styleId="FloatTok">
    <w:name w:val="FloatTok"/>
    <w:basedOn w:val="VerbatimChar"/>
    <w:rPr>
      <w:color w:val="0000cf"/>
      <w:shd w:val="clear" w:fill="f8f8f8"/>
    </w:rPr>
  </w:style>
  <w:style w:type="character" w:customStyle="1" w:styleId="CharTok">
    <w:name w:val="CharTok"/>
    <w:basedOn w:val="VerbatimChar"/>
    <w:rPr>
      <w:color w:val="4e9a06"/>
      <w:shd w:val="clear" w:fill="f8f8f8"/>
    </w:rPr>
  </w:style>
  <w:style w:type="character" w:customStyle="1" w:styleId="StringTok">
    <w:name w:val="StringTok"/>
    <w:basedOn w:val="VerbatimChar"/>
    <w:rPr>
      <w:color w:val="4e9a06"/>
      <w:shd w:val="clear" w:fill="f8f8f8"/>
    </w:rPr>
  </w:style>
  <w:style w:type="character" w:customStyle="1" w:styleId="CommentTok">
    <w:name w:val="CommentTok"/>
    <w:basedOn w:val="VerbatimChar"/>
    <w:rPr>
      <w:color w:val="8f5902"/>
      <w:shd w:val="clear" w:fill="f8f8f8"/>
      <w:i/>
    </w:rPr>
  </w:style>
  <w:style w:type="character" w:customStyle="1" w:styleId="OtherTok">
    <w:name w:val="OtherTok"/>
    <w:basedOn w:val="VerbatimChar"/>
    <w:rPr>
      <w:color w:val="8f5902"/>
      <w:shd w:val="clear" w:fill="f8f8f8"/>
    </w:rPr>
  </w:style>
  <w:style w:type="character" w:customStyle="1" w:styleId="AlertTok">
    <w:name w:val="AlertTok"/>
    <w:basedOn w:val="VerbatimChar"/>
    <w:rPr>
      <w:color w:val="ef2929"/>
      <w:shd w:val="clear" w:fill="f8f8f8"/>
    </w:rPr>
  </w:style>
  <w:style w:type="character" w:customStyle="1" w:styleId="FunctionTok">
    <w:name w:val="FunctionTok"/>
    <w:basedOn w:val="VerbatimChar"/>
    <w:rPr>
      <w:color w:val="000000"/>
      <w:shd w:val="clear" w:fill="f8f8f8"/>
    </w:rPr>
  </w:style>
  <w:style w:type="character" w:customStyle="1" w:styleId="RegionMarkerTok">
    <w:name w:val="RegionMarkerTok"/>
    <w:basedOn w:val="VerbatimChar"/>
    <w:rPr>
      <w:shd w:val="clear" w:fill="f8f8f8"/>
    </w:rPr>
  </w:style>
  <w:style w:type="character" w:customStyle="1" w:styleId="ErrorTok">
    <w:name w:val="ErrorTok"/>
    <w:basedOn w:val="VerbatimChar"/>
    <w:rPr>
      <w:shd w:val="clear" w:fill="f8f8f8"/>
      <w:b/>
    </w:rPr>
  </w:style>
  <w:style w:type="character" w:customStyle="1" w:styleId="NormalTok">
    <w:name w:val="NormalTok"/>
    <w:basedOn w:val="VerbatimChar"/>
    <w:rPr>
      <w:shd w:val="clear" w:fill="f8f8f8"/>
    </w:r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image" Id="rId24" Target="media/rId24.png" /><Relationship Type="http://schemas.openxmlformats.org/officeDocument/2006/relationships/hyperlink" Id="rId27" Target="http://dx.doi.org/10.1038/nature11397" TargetMode="External" /><Relationship Type="http://schemas.openxmlformats.org/officeDocument/2006/relationships/hyperlink" Id="rId28" Target="http://dx.doi.org/10.1126/science.1149345" TargetMode="External" /><Relationship Type="http://schemas.openxmlformats.org/officeDocument/2006/relationships/hyperlink" Id="rId29" Target="http://dx.doi.org/10.1371/journal.pone.0060284" TargetMode="External" /></Relationships>
</file>

<file path=word/_rels/footnotes.xml.rels><?xml version="1.0" encoding="UTF-8"?>
<Relationships xmlns="http://schemas.openxmlformats.org/package/2006/relationships"><Relationship Type="http://schemas.openxmlformats.org/officeDocument/2006/relationships/hyperlink" Id="rId27" Target="http://dx.doi.org/10.1038/nature11397" TargetMode="External" /><Relationship Type="http://schemas.openxmlformats.org/officeDocument/2006/relationships/hyperlink" Id="rId28" Target="http://dx.doi.org/10.1126/science.1149345" TargetMode="External" /><Relationship Type="http://schemas.openxmlformats.org/officeDocument/2006/relationships/hyperlink" Id="rId29" Target="http://dx.doi.org/10.1371/journal.pone.0060284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Trying Rmarkdown</dc:title>
  <dc:creator>Ben Best</dc:creator>
</cp:coreProperties>
</file>